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Grant Manager Job Description Template</w:t>
      </w:r>
    </w:p>
    <w:p>
      <w:pPr>
        <w:pStyle w:val="GCSubtitle"/>
      </w:pPr>
      <w:r>
        <w:t>An editable job description for a nonprofit grant manager, with duties by grant phase, a salary range field and a pre-posting checklist</w:t>
      </w:r>
    </w:p>
    <w:p>
      <w:pPr>
        <w:pStyle w:val="GCMeta"/>
      </w:pPr>
      <w:r>
        <w:t>Version 1.0  |  November 2026  |  Published by GrantCue  |  Free to copy, edit and share</w:t>
      </w:r>
    </w:p>
    <w:p>
      <w:pPr>
        <w:pStyle w:val="GCFill"/>
        <w:keepNext w:val="0"/>
      </w:pPr>
      <w:r>
        <w:rPr>
          <w:b/>
        </w:rPr>
        <w:t xml:space="preserve">How to use this template: </w:t>
      </w:r>
      <w:r>
        <w:t>fill in the bracketed fields, delete lines another staff member owns, add the optional development-led or finance-led duty lines if the role reports to development or finance, complete the time-allocation table, then run the pre-posting checklist.</w:t>
      </w:r>
    </w:p>
    <w:p>
      <w:pPr>
        <w:pStyle w:val="Heading1"/>
      </w:pPr>
      <w:r>
        <w:t>Position Details</w:t>
      </w:r>
    </w:p>
    <w:tbl>
      <w:tblPr>
        <w:tblStyle w:val="TableGrid"/>
        <w:tblW w:type="dxa" w:w="10080"/>
        <w:tblLayout w:type="fixed"/>
        <w:tblLook w:firstColumn="1" w:firstRow="1" w:lastColumn="0" w:lastRow="0" w:noHBand="0" w:noVBand="1" w:val="04A0"/>
      </w:tblPr>
      <w:tblGrid>
        <w:gridCol w:w="2304"/>
        <w:gridCol w:w="7776"/>
      </w:tblGrid>
      <w:tr>
        <w:trPr>
          <w:cantSplit/>
          <w:tblHeader w:val="true"/>
        </w:trPr>
        <w:tc>
          <w:tcPr>
            <w:tcW w:type="dxa" w:w="2304"/>
            <w:shd w:val="clear" w:color="auto" w:fill="1F3556"/>
          </w:tcPr>
          <w:p>
            <w:pPr>
              <w:keepNext/>
              <w:spacing w:after="40" w:before="40"/>
            </w:pPr>
            <w:r>
              <w:rPr>
                <w:b/>
                <w:color w:val="FFFFFF"/>
                <w:sz w:val="18"/>
              </w:rPr>
              <w:t>Field</w:t>
            </w:r>
          </w:p>
        </w:tc>
        <w:tc>
          <w:tcPr>
            <w:tcW w:type="dxa" w:w="7776"/>
            <w:shd w:val="clear" w:color="auto" w:fill="1F3556"/>
          </w:tcPr>
          <w:p>
            <w:pPr>
              <w:keepNext/>
              <w:spacing w:after="40" w:before="40"/>
            </w:pPr>
            <w:r>
              <w:rPr>
                <w:b/>
                <w:color w:val="FFFFFF"/>
                <w:sz w:val="18"/>
              </w:rPr>
              <w:t>Entry</w:t>
            </w:r>
          </w:p>
        </w:tc>
      </w:tr>
      <w:tr>
        <w:trPr>
          <w:cantSplit/>
        </w:trPr>
        <w:tc>
          <w:tcPr>
            <w:tcW w:type="dxa" w:w="2304"/>
          </w:tcPr>
          <w:p>
            <w:pPr>
              <w:keepNext/>
              <w:spacing w:after="40" w:before="40"/>
            </w:pPr>
            <w:r>
              <w:rPr>
                <w:b w:val="0"/>
                <w:sz w:val="19"/>
              </w:rPr>
              <w:t>Title</w:t>
            </w:r>
          </w:p>
        </w:tc>
        <w:tc>
          <w:tcPr>
            <w:tcW w:type="dxa" w:w="7776"/>
            <w:shd w:val="clear" w:color="auto" w:fill="FFF6E0"/>
          </w:tcPr>
          <w:p>
            <w:pPr>
              <w:keepNext/>
              <w:spacing w:after="40" w:before="40"/>
            </w:pPr>
            <w:r>
              <w:rPr>
                <w:b w:val="0"/>
                <w:sz w:val="19"/>
              </w:rPr>
              <w:t>[Grant Manager]</w:t>
            </w:r>
          </w:p>
        </w:tc>
      </w:tr>
      <w:tr>
        <w:trPr>
          <w:cantSplit/>
        </w:trPr>
        <w:tc>
          <w:tcPr>
            <w:tcW w:type="dxa" w:w="2304"/>
          </w:tcPr>
          <w:p>
            <w:pPr>
              <w:keepNext/>
              <w:spacing w:after="40" w:before="40"/>
            </w:pPr>
            <w:r>
              <w:rPr>
                <w:b w:val="0"/>
                <w:sz w:val="19"/>
              </w:rPr>
              <w:t>Reports to</w:t>
            </w:r>
          </w:p>
        </w:tc>
        <w:tc>
          <w:tcPr>
            <w:tcW w:type="dxa" w:w="7776"/>
            <w:shd w:val="clear" w:color="auto" w:fill="FFF6E0"/>
          </w:tcPr>
          <w:p>
            <w:pPr>
              <w:keepNext/>
              <w:spacing w:after="40" w:before="40"/>
            </w:pPr>
            <w:r>
              <w:rPr>
                <w:b w:val="0"/>
                <w:sz w:val="19"/>
              </w:rPr>
              <w:t>[Executive Director, Development Director or Finance Director]</w:t>
            </w:r>
          </w:p>
        </w:tc>
      </w:tr>
      <w:tr>
        <w:trPr>
          <w:cantSplit/>
        </w:trPr>
        <w:tc>
          <w:tcPr>
            <w:tcW w:type="dxa" w:w="2304"/>
          </w:tcPr>
          <w:p>
            <w:pPr>
              <w:keepNext/>
              <w:spacing w:after="40" w:before="40"/>
            </w:pPr>
            <w:r>
              <w:rPr>
                <w:b w:val="0"/>
                <w:sz w:val="19"/>
              </w:rPr>
              <w:t>Supervises</w:t>
            </w:r>
          </w:p>
        </w:tc>
        <w:tc>
          <w:tcPr>
            <w:tcW w:type="dxa" w:w="7776"/>
            <w:shd w:val="clear" w:color="auto" w:fill="FFF6E0"/>
          </w:tcPr>
          <w:p>
            <w:pPr>
              <w:keepNext/>
              <w:spacing w:after="40" w:before="40"/>
            </w:pPr>
            <w:r>
              <w:rPr>
                <w:b w:val="0"/>
                <w:sz w:val="19"/>
              </w:rPr>
              <w:t>[Grant Coordinator, or none]</w:t>
            </w:r>
          </w:p>
        </w:tc>
      </w:tr>
      <w:tr>
        <w:trPr>
          <w:cantSplit/>
        </w:trPr>
        <w:tc>
          <w:tcPr>
            <w:tcW w:type="dxa" w:w="2304"/>
          </w:tcPr>
          <w:p>
            <w:pPr>
              <w:keepNext/>
              <w:spacing w:after="40" w:before="40"/>
            </w:pPr>
            <w:r>
              <w:rPr>
                <w:b w:val="0"/>
                <w:sz w:val="19"/>
              </w:rPr>
              <w:t>Schedule</w:t>
            </w:r>
          </w:p>
        </w:tc>
        <w:tc>
          <w:tcPr>
            <w:tcW w:type="dxa" w:w="7776"/>
            <w:shd w:val="clear" w:color="auto" w:fill="FFF6E0"/>
          </w:tcPr>
          <w:p>
            <w:pPr>
              <w:keepNext/>
              <w:spacing w:after="40" w:before="40"/>
            </w:pPr>
            <w:r>
              <w:rPr>
                <w:b w:val="0"/>
                <w:sz w:val="19"/>
              </w:rPr>
              <w:t>[Full-time or part-time]</w:t>
            </w:r>
          </w:p>
        </w:tc>
      </w:tr>
      <w:tr>
        <w:trPr>
          <w:cantSplit/>
        </w:trPr>
        <w:tc>
          <w:tcPr>
            <w:tcW w:type="dxa" w:w="2304"/>
          </w:tcPr>
          <w:p>
            <w:pPr>
              <w:keepNext/>
              <w:spacing w:after="40" w:before="40"/>
            </w:pPr>
            <w:r>
              <w:rPr>
                <w:b w:val="0"/>
                <w:sz w:val="19"/>
              </w:rPr>
              <w:t>Grant volume</w:t>
            </w:r>
          </w:p>
        </w:tc>
        <w:tc>
          <w:tcPr>
            <w:tcW w:type="dxa" w:w="7776"/>
            <w:shd w:val="clear" w:color="auto" w:fill="FFF6E0"/>
          </w:tcPr>
          <w:p>
            <w:pPr>
              <w:keepNext/>
              <w:spacing w:after="40" w:before="40"/>
            </w:pPr>
            <w:r>
              <w:rPr>
                <w:b w:val="0"/>
                <w:sz w:val="19"/>
              </w:rPr>
              <w:t>[number] applications a year; [number] active awards</w:t>
            </w:r>
          </w:p>
        </w:tc>
      </w:tr>
      <w:tr>
        <w:trPr>
          <w:cantSplit/>
        </w:trPr>
        <w:tc>
          <w:tcPr>
            <w:tcW w:type="dxa" w:w="2304"/>
          </w:tcPr>
          <w:p>
            <w:pPr>
              <w:keepNext/>
              <w:spacing w:after="40" w:before="40"/>
            </w:pPr>
            <w:r>
              <w:rPr>
                <w:b w:val="0"/>
                <w:sz w:val="19"/>
              </w:rPr>
              <w:t>Systems</w:t>
            </w:r>
          </w:p>
        </w:tc>
        <w:tc>
          <w:tcPr>
            <w:tcW w:type="dxa" w:w="7776"/>
            <w:shd w:val="clear" w:color="auto" w:fill="FFF6E0"/>
          </w:tcPr>
          <w:p>
            <w:pPr>
              <w:keepNext/>
              <w:spacing w:after="40" w:before="40"/>
            </w:pPr>
            <w:r>
              <w:rPr>
                <w:b w:val="0"/>
                <w:sz w:val="19"/>
              </w:rPr>
              <w:t>Grants calendar kept in [system], owned by [role]; award budgets kept in [system], owned by [role]</w:t>
            </w:r>
          </w:p>
        </w:tc>
      </w:tr>
      <w:tr>
        <w:trPr>
          <w:cantSplit/>
        </w:trPr>
        <w:tc>
          <w:tcPr>
            <w:tcW w:type="dxa" w:w="2304"/>
          </w:tcPr>
          <w:p>
            <w:pPr>
              <w:spacing w:after="40" w:before="40"/>
            </w:pPr>
            <w:r>
              <w:rPr>
                <w:b w:val="0"/>
                <w:sz w:val="19"/>
              </w:rPr>
              <w:t>Salary range</w:t>
            </w:r>
          </w:p>
        </w:tc>
        <w:tc>
          <w:tcPr>
            <w:tcW w:type="dxa" w:w="7776"/>
            <w:shd w:val="clear" w:color="auto" w:fill="FFF6E0"/>
          </w:tcPr>
          <w:p>
            <w:pPr>
              <w:spacing w:after="40" w:before="40"/>
            </w:pPr>
            <w:r>
              <w:rPr>
                <w:b w:val="0"/>
                <w:sz w:val="19"/>
              </w:rPr>
              <w:t>$[minimum] to $[maximum] a year, stated in the posting</w:t>
            </w:r>
          </w:p>
        </w:tc>
      </w:tr>
    </w:tbl>
    <w:p>
      <w:pPr>
        <w:pStyle w:val="GCCaption"/>
      </w:pPr>
    </w:p>
    <w:p>
      <w:pPr>
        <w:pStyle w:val="Heading1"/>
      </w:pPr>
      <w:r>
        <w:t>Position Summary</w:t>
      </w:r>
    </w:p>
    <w:p>
      <w:r>
        <w:t>The Grant Manager leads [Organization name]'s grant program from funder research through closeout. The role keeps the grants calendar, writes and submits proposals with program and finance staff, and makes sure every award is spent, documented and reported as the funder requires.</w:t>
      </w:r>
    </w:p>
    <w:p>
      <w:pPr>
        <w:pStyle w:val="Heading1"/>
      </w:pPr>
      <w:r>
        <w:t>Responsibilities</w:t>
      </w:r>
    </w:p>
    <w:p>
      <w:pPr>
        <w:pStyle w:val="Heading2"/>
      </w:pPr>
      <w:r>
        <w:t>Pre-award duties</w:t>
      </w:r>
    </w:p>
    <w:p>
      <w:pPr>
        <w:pStyle w:val="ListBullet"/>
      </w:pPr>
      <w:r>
        <w:t>Research foundation, corporate and government funders and keep a qualified prospect list.</w:t>
      </w:r>
    </w:p>
    <w:p>
      <w:pPr>
        <w:pStyle w:val="ListBullet"/>
      </w:pPr>
      <w:r>
        <w:t>Maintain the grants calendar of inquiry letters, applications, renewals and reports.</w:t>
      </w:r>
    </w:p>
    <w:p>
      <w:pPr>
        <w:pStyle w:val="ListBullet"/>
      </w:pPr>
      <w:r>
        <w:t>Write or coordinate proposals, including narratives, evaluation plans and budgets prepared with finance.</w:t>
      </w:r>
    </w:p>
    <w:p>
      <w:pPr>
        <w:pStyle w:val="ListBullet"/>
      </w:pPr>
      <w:r>
        <w:t>Submit applications through funder portals and file a complete copy of each submission.</w:t>
      </w:r>
    </w:p>
    <w:p>
      <w:pPr>
        <w:pStyle w:val="Heading2"/>
      </w:pPr>
      <w:r>
        <w:t>Award and post-award duties</w:t>
      </w:r>
    </w:p>
    <w:p>
      <w:pPr>
        <w:pStyle w:val="ListBullet"/>
      </w:pPr>
      <w:r>
        <w:t>Review each award's terms and brief program and finance staff on conditions, restrictions and report dates.</w:t>
      </w:r>
    </w:p>
    <w:p>
      <w:pPr>
        <w:pStyle w:val="ListBullet"/>
      </w:pPr>
      <w:r>
        <w:t>Set up each award with finance, including budget lines, cost codes and a reporting calendar.</w:t>
      </w:r>
    </w:p>
    <w:p>
      <w:pPr>
        <w:pStyle w:val="ListBullet"/>
      </w:pPr>
      <w:r>
        <w:t>Compare spending with the approved budget each month and request budget changes in time.</w:t>
      </w:r>
    </w:p>
    <w:p>
      <w:pPr>
        <w:pStyle w:val="ListBullet"/>
      </w:pPr>
      <w:r>
        <w:t>Prepare progress and financial reports with data supplied by program staff.</w:t>
      </w:r>
    </w:p>
    <w:p>
      <w:pPr>
        <w:pStyle w:val="ListBullet"/>
      </w:pPr>
      <w:r>
        <w:t>Monitor partner organizations that receive funds from the organization's awards.</w:t>
      </w:r>
    </w:p>
    <w:p>
      <w:pPr>
        <w:pStyle w:val="ListBullet"/>
      </w:pPr>
      <w:r>
        <w:t>Keep audit-ready records and complete closeout for each award.</w:t>
      </w:r>
    </w:p>
    <w:p>
      <w:pPr>
        <w:pStyle w:val="Heading1"/>
      </w:pPr>
      <w:r>
        <w:t>Optional duty lines</w:t>
      </w:r>
    </w:p>
    <w:p>
      <w:pPr>
        <w:pStyle w:val="GCFill"/>
        <w:keepNext/>
      </w:pPr>
      <w:r>
        <w:t>Optional. If the role reports to a development or finance director, add the matching block to Responsibilities, then delete this section.</w:t>
      </w:r>
    </w:p>
    <w:p>
      <w:pPr>
        <w:pStyle w:val="Heading2"/>
      </w:pPr>
      <w:r>
        <w:t>Development-led version (the role reports to a development or fundraising director)</w:t>
      </w:r>
    </w:p>
    <w:p>
      <w:pPr>
        <w:pStyle w:val="ListBullet"/>
      </w:pPr>
      <w:r>
        <w:t>Build and keep relationships with program staff at foundation, corporate and government funders.</w:t>
      </w:r>
    </w:p>
    <w:p>
      <w:pPr>
        <w:pStyle w:val="ListBullet"/>
      </w:pPr>
      <w:r>
        <w:t>Lead prospect research and keep the annual plan of new proposals and renewals.</w:t>
      </w:r>
    </w:p>
    <w:p>
      <w:pPr>
        <w:pStyle w:val="ListBullet"/>
      </w:pPr>
      <w:r>
        <w:t>Financial reports and audit support for each award are owned by [finance title]; the Grant Manager supplies program data and narrative sections.</w:t>
      </w:r>
    </w:p>
    <w:p>
      <w:pPr>
        <w:pStyle w:val="Heading2"/>
      </w:pPr>
      <w:r>
        <w:t>Finance-led version (the role reports to a finance director)</w:t>
      </w:r>
    </w:p>
    <w:p>
      <w:pPr>
        <w:pStyle w:val="ListBullet"/>
      </w:pPr>
      <w:r>
        <w:t>Prepare the financial reports for each award with the accounting staff.</w:t>
      </w:r>
    </w:p>
    <w:p>
      <w:pPr>
        <w:pStyle w:val="ListBullet"/>
      </w:pPr>
      <w:r>
        <w:t>Prepare budget revisions and change requests when spending must move between budget lines.</w:t>
      </w:r>
    </w:p>
    <w:p>
      <w:pPr>
        <w:pStyle w:val="ListBullet"/>
      </w:pPr>
      <w:r>
        <w:t>Support audits with award files, cost records and reports.</w:t>
      </w:r>
    </w:p>
    <w:p>
      <w:pPr>
        <w:pStyle w:val="ListBullet"/>
      </w:pPr>
      <w:r>
        <w:t>New proposals and funder contact are led by [development title]; the Grant Manager supplies budgets and compliance input.</w:t>
      </w:r>
    </w:p>
    <w:p>
      <w:pPr>
        <w:pStyle w:val="Heading1"/>
      </w:pPr>
      <w:r>
        <w:t>Time allocation</w:t>
      </w:r>
    </w:p>
    <w:p>
      <w:pPr>
        <w:pStyle w:val="GCFill"/>
        <w:keepNext/>
      </w:pPr>
      <w:r>
        <w:t>Enter the share of the role's time for each duty group by hand. The four shares should total 100.</w:t>
      </w:r>
    </w:p>
    <w:tbl>
      <w:tblPr>
        <w:tblStyle w:val="TableGrid"/>
        <w:tblW w:type="dxa" w:w="10080"/>
        <w:tblLayout w:type="fixed"/>
        <w:tblLook w:firstColumn="1" w:firstRow="1" w:lastColumn="0" w:lastRow="0" w:noHBand="0" w:noVBand="1" w:val="04A0"/>
      </w:tblPr>
      <w:tblGrid>
        <w:gridCol w:w="1872"/>
        <w:gridCol w:w="6048"/>
        <w:gridCol w:w="2160"/>
      </w:tblGrid>
      <w:tr>
        <w:trPr>
          <w:cantSplit/>
          <w:tblHeader w:val="true"/>
        </w:trPr>
        <w:tc>
          <w:tcPr>
            <w:tcW w:type="dxa" w:w="1872"/>
            <w:shd w:val="clear" w:color="auto" w:fill="1F3556"/>
          </w:tcPr>
          <w:p>
            <w:pPr>
              <w:keepNext/>
              <w:spacing w:after="40" w:before="40"/>
            </w:pPr>
            <w:r>
              <w:rPr>
                <w:b/>
                <w:color w:val="FFFFFF"/>
                <w:sz w:val="18"/>
              </w:rPr>
              <w:t>Duty group</w:t>
            </w:r>
          </w:p>
        </w:tc>
        <w:tc>
          <w:tcPr>
            <w:tcW w:type="dxa" w:w="6048"/>
            <w:shd w:val="clear" w:color="auto" w:fill="1F3556"/>
          </w:tcPr>
          <w:p>
            <w:pPr>
              <w:keepNext/>
              <w:spacing w:after="40" w:before="40"/>
            </w:pPr>
            <w:r>
              <w:rPr>
                <w:b/>
                <w:color w:val="FFFFFF"/>
                <w:sz w:val="18"/>
              </w:rPr>
              <w:t>Duties included</w:t>
            </w:r>
          </w:p>
        </w:tc>
        <w:tc>
          <w:tcPr>
            <w:tcW w:type="dxa" w:w="2160"/>
            <w:shd w:val="clear" w:color="auto" w:fill="1F3556"/>
          </w:tcPr>
          <w:p>
            <w:pPr>
              <w:keepNext/>
              <w:spacing w:after="40" w:before="40"/>
            </w:pPr>
            <w:r>
              <w:rPr>
                <w:b/>
                <w:color w:val="FFFFFF"/>
                <w:sz w:val="18"/>
              </w:rPr>
              <w:t>Share of the role's time (%)</w:t>
            </w:r>
          </w:p>
        </w:tc>
      </w:tr>
      <w:tr>
        <w:trPr>
          <w:cantSplit/>
        </w:trPr>
        <w:tc>
          <w:tcPr>
            <w:tcW w:type="dxa" w:w="1872"/>
          </w:tcPr>
          <w:p>
            <w:pPr>
              <w:keepNext/>
              <w:spacing w:after="40" w:before="40"/>
            </w:pPr>
            <w:r>
              <w:rPr>
                <w:b w:val="0"/>
                <w:sz w:val="19"/>
              </w:rPr>
              <w:t>Pre-award</w:t>
            </w:r>
          </w:p>
        </w:tc>
        <w:tc>
          <w:tcPr>
            <w:tcW w:type="dxa" w:w="6048"/>
          </w:tcPr>
          <w:p>
            <w:pPr>
              <w:keepNext/>
              <w:spacing w:after="40" w:before="40"/>
            </w:pPr>
            <w:r>
              <w:rPr>
                <w:b w:val="0"/>
                <w:sz w:val="19"/>
              </w:rPr>
              <w:t>Funder research, grants calendar, proposals, budgets with finance, submissions</w:t>
            </w:r>
          </w:p>
        </w:tc>
        <w:tc>
          <w:tcPr>
            <w:tcW w:type="dxa" w:w="2160"/>
            <w:shd w:val="clear" w:color="auto" w:fill="FFF6E0"/>
          </w:tcPr>
          <w:p>
            <w:pPr>
              <w:keepNext/>
              <w:spacing w:after="40" w:before="40"/>
            </w:pPr>
            <w:r>
              <w:rPr>
                <w:b w:val="0"/>
                <w:sz w:val="19"/>
              </w:rPr>
              <w:t>[  ]</w:t>
            </w:r>
          </w:p>
        </w:tc>
      </w:tr>
      <w:tr>
        <w:trPr>
          <w:cantSplit/>
        </w:trPr>
        <w:tc>
          <w:tcPr>
            <w:tcW w:type="dxa" w:w="1872"/>
          </w:tcPr>
          <w:p>
            <w:pPr>
              <w:keepNext/>
              <w:spacing w:after="40" w:before="40"/>
            </w:pPr>
            <w:r>
              <w:rPr>
                <w:b w:val="0"/>
                <w:sz w:val="19"/>
              </w:rPr>
              <w:t>Award</w:t>
            </w:r>
          </w:p>
        </w:tc>
        <w:tc>
          <w:tcPr>
            <w:tcW w:type="dxa" w:w="6048"/>
          </w:tcPr>
          <w:p>
            <w:pPr>
              <w:keepNext/>
              <w:spacing w:after="40" w:before="40"/>
            </w:pPr>
            <w:r>
              <w:rPr>
                <w:b w:val="0"/>
                <w:sz w:val="19"/>
              </w:rPr>
              <w:t>Reading award terms, briefing program and finance staff, setting up budget lines, cost codes and the reporting calendar</w:t>
            </w:r>
          </w:p>
        </w:tc>
        <w:tc>
          <w:tcPr>
            <w:tcW w:type="dxa" w:w="2160"/>
            <w:shd w:val="clear" w:color="auto" w:fill="FFF6E0"/>
          </w:tcPr>
          <w:p>
            <w:pPr>
              <w:keepNext/>
              <w:spacing w:after="40" w:before="40"/>
            </w:pPr>
            <w:r>
              <w:rPr>
                <w:b w:val="0"/>
                <w:sz w:val="19"/>
              </w:rPr>
              <w:t>[  ]</w:t>
            </w:r>
          </w:p>
        </w:tc>
      </w:tr>
      <w:tr>
        <w:trPr>
          <w:cantSplit/>
        </w:trPr>
        <w:tc>
          <w:tcPr>
            <w:tcW w:type="dxa" w:w="1872"/>
          </w:tcPr>
          <w:p>
            <w:pPr>
              <w:keepNext/>
              <w:spacing w:after="40" w:before="40"/>
            </w:pPr>
            <w:r>
              <w:rPr>
                <w:b w:val="0"/>
                <w:sz w:val="19"/>
              </w:rPr>
              <w:t>Post-award</w:t>
            </w:r>
          </w:p>
        </w:tc>
        <w:tc>
          <w:tcPr>
            <w:tcW w:type="dxa" w:w="6048"/>
          </w:tcPr>
          <w:p>
            <w:pPr>
              <w:keepNext/>
              <w:spacing w:after="40" w:before="40"/>
            </w:pPr>
            <w:r>
              <w:rPr>
                <w:b w:val="0"/>
                <w:sz w:val="19"/>
              </w:rPr>
              <w:t>Spending against budget, budget changes, progress and financial reports, partner monitoring, audit-ready records, closeout</w:t>
            </w:r>
          </w:p>
        </w:tc>
        <w:tc>
          <w:tcPr>
            <w:tcW w:type="dxa" w:w="2160"/>
            <w:shd w:val="clear" w:color="auto" w:fill="FFF6E0"/>
          </w:tcPr>
          <w:p>
            <w:pPr>
              <w:keepNext/>
              <w:spacing w:after="40" w:before="40"/>
            </w:pPr>
            <w:r>
              <w:rPr>
                <w:b w:val="0"/>
                <w:sz w:val="19"/>
              </w:rPr>
              <w:t>[  ]</w:t>
            </w:r>
          </w:p>
        </w:tc>
      </w:tr>
      <w:tr>
        <w:trPr>
          <w:cantSplit/>
        </w:trPr>
        <w:tc>
          <w:tcPr>
            <w:tcW w:type="dxa" w:w="1872"/>
          </w:tcPr>
          <w:p>
            <w:pPr>
              <w:keepNext/>
              <w:spacing w:after="40" w:before="40"/>
            </w:pPr>
            <w:r>
              <w:rPr>
                <w:b w:val="0"/>
                <w:sz w:val="19"/>
              </w:rPr>
              <w:t>Other duties</w:t>
            </w:r>
          </w:p>
        </w:tc>
        <w:tc>
          <w:tcPr>
            <w:tcW w:type="dxa" w:w="6048"/>
            <w:shd w:val="clear" w:color="auto" w:fill="FFF6E0"/>
          </w:tcPr>
          <w:p>
            <w:pPr>
              <w:keepNext/>
              <w:spacing w:after="40" w:before="40"/>
            </w:pPr>
            <w:r>
              <w:rPr>
                <w:b w:val="0"/>
                <w:sz w:val="19"/>
              </w:rPr>
              <w:t>[List]</w:t>
            </w:r>
          </w:p>
        </w:tc>
        <w:tc>
          <w:tcPr>
            <w:tcW w:type="dxa" w:w="2160"/>
            <w:shd w:val="clear" w:color="auto" w:fill="FFF6E0"/>
          </w:tcPr>
          <w:p>
            <w:pPr>
              <w:keepNext/>
              <w:spacing w:after="40" w:before="40"/>
            </w:pPr>
            <w:r>
              <w:rPr>
                <w:b w:val="0"/>
                <w:sz w:val="19"/>
              </w:rPr>
              <w:t>[  ]</w:t>
            </w:r>
          </w:p>
        </w:tc>
      </w:tr>
      <w:tr>
        <w:trPr>
          <w:cantSplit/>
        </w:trPr>
        <w:tc>
          <w:tcPr>
            <w:tcW w:type="dxa" w:w="1872"/>
          </w:tcPr>
          <w:p>
            <w:pPr>
              <w:spacing w:after="40" w:before="40"/>
            </w:pPr>
            <w:r>
              <w:rPr>
                <w:b/>
                <w:sz w:val="19"/>
              </w:rPr>
              <w:t>Total</w:t>
            </w:r>
          </w:p>
        </w:tc>
        <w:tc>
          <w:tcPr>
            <w:tcW w:type="dxa" w:w="6048"/>
          </w:tcPr>
          <w:p>
            <w:pPr>
              <w:spacing w:after="40" w:before="40"/>
            </w:pPr>
            <w:r>
              <w:rPr>
                <w:b w:val="0"/>
                <w:sz w:val="19"/>
              </w:rPr>
            </w:r>
          </w:p>
        </w:tc>
        <w:tc>
          <w:tcPr>
            <w:tcW w:type="dxa" w:w="2160"/>
          </w:tcPr>
          <w:p>
            <w:pPr>
              <w:spacing w:after="40" w:before="40"/>
            </w:pPr>
            <w:r>
              <w:rPr>
                <w:b w:val="0"/>
                <w:sz w:val="19"/>
              </w:rPr>
              <w:t>Should equal 100</w:t>
            </w:r>
          </w:p>
        </w:tc>
      </w:tr>
    </w:tbl>
    <w:p>
      <w:pPr>
        <w:pStyle w:val="GCCaption"/>
      </w:pPr>
    </w:p>
    <w:p>
      <w:pPr>
        <w:pStyle w:val="Heading1"/>
      </w:pPr>
      <w:r>
        <w:t>Qualifications</w:t>
      </w:r>
    </w:p>
    <w:p>
      <w:pPr>
        <w:pStyle w:val="Heading2"/>
      </w:pPr>
      <w:r>
        <w:t>Required</w:t>
      </w:r>
    </w:p>
    <w:p>
      <w:pPr>
        <w:pStyle w:val="ListBullet"/>
      </w:pPr>
      <w:r>
        <w:t>A bachelor's degree or equivalent experience.</w:t>
      </w:r>
    </w:p>
    <w:p>
      <w:pPr>
        <w:pStyle w:val="ListBullet"/>
      </w:pPr>
      <w:r>
        <w:t>[Number] years of grants experience.</w:t>
      </w:r>
    </w:p>
    <w:p>
      <w:pPr>
        <w:pStyle w:val="ListBullet"/>
      </w:pPr>
      <w:r>
        <w:t>A record of funded proposals.</w:t>
      </w:r>
    </w:p>
    <w:p>
      <w:pPr>
        <w:pStyle w:val="ListBullet"/>
      </w:pPr>
      <w:r>
        <w:t>The ability to read award terms and work with budgets alongside finance staff.</w:t>
      </w:r>
    </w:p>
    <w:p>
      <w:pPr>
        <w:pStyle w:val="Heading2"/>
      </w:pPr>
      <w:r>
        <w:t>Preferred</w:t>
      </w:r>
    </w:p>
    <w:p>
      <w:pPr>
        <w:pStyle w:val="ListBullet"/>
      </w:pPr>
      <w:r>
        <w:t>Experience with federal awards and the Uniform Guidance (2 CFR Part 200).</w:t>
      </w:r>
    </w:p>
    <w:p>
      <w:pPr>
        <w:pStyle w:val="ListBullet"/>
      </w:pPr>
      <w:r>
        <w:t>A grant credential such as Grant Professional Certified (GPC) or Certified Grants Management Specialist (CGMS).</w:t>
      </w:r>
    </w:p>
    <w:p>
      <w:r>
        <w:t>Paid and unpaid grant work, including volunteer work, counts toward the experience requirement.</w:t>
      </w:r>
    </w:p>
    <w:p>
      <w:pPr>
        <w:pStyle w:val="Heading1"/>
      </w:pPr>
      <w:r>
        <w:t>Pre-posting checklist</w:t>
      </w:r>
    </w:p>
    <w:p>
      <w:pPr>
        <w:pStyle w:val="GCFill"/>
        <w:keepNext/>
      </w:pPr>
      <w:r>
        <w:t>Check each item by hand before the posting goes live.</w:t>
      </w:r>
    </w:p>
    <w:tbl>
      <w:tblPr>
        <w:tblStyle w:val="TableGrid"/>
        <w:tblW w:type="dxa" w:w="10080"/>
        <w:tblLayout w:type="fixed"/>
        <w:tblLook w:firstColumn="1" w:firstRow="1" w:lastColumn="0" w:lastRow="0" w:noHBand="0" w:noVBand="1" w:val="04A0"/>
      </w:tblPr>
      <w:tblGrid>
        <w:gridCol w:w="864"/>
        <w:gridCol w:w="9216"/>
      </w:tblGrid>
      <w:tr>
        <w:trPr>
          <w:cantSplit/>
          <w:tblHeader w:val="true"/>
        </w:trPr>
        <w:tc>
          <w:tcPr>
            <w:tcW w:type="dxa" w:w="864"/>
            <w:shd w:val="clear" w:color="auto" w:fill="1F3556"/>
          </w:tcPr>
          <w:p>
            <w:pPr>
              <w:keepNext/>
              <w:spacing w:after="40" w:before="40"/>
            </w:pPr>
            <w:r>
              <w:rPr>
                <w:b/>
                <w:color w:val="FFFFFF"/>
                <w:sz w:val="18"/>
              </w:rPr>
              <w:t>Done</w:t>
            </w:r>
          </w:p>
        </w:tc>
        <w:tc>
          <w:tcPr>
            <w:tcW w:type="dxa" w:w="9216"/>
            <w:shd w:val="clear" w:color="auto" w:fill="1F3556"/>
          </w:tcPr>
          <w:p>
            <w:pPr>
              <w:keepNext/>
              <w:spacing w:after="40" w:before="40"/>
            </w:pPr>
            <w:r>
              <w:rPr>
                <w:b/>
                <w:color w:val="FFFFFF"/>
                <w:sz w:val="18"/>
              </w:rPr>
              <w:t>Check before posting</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The title matches the larger share of the duties.</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Every duty is an action with an object, with a frequency where one applies.</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The reporting line says who owns financial reports and who owns new proposals.</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The salary range is in the posting.</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Lines another staff member owns are cut.</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The numbers of applications a year and active awards are filled in.</w:t>
            </w:r>
          </w:p>
        </w:tc>
      </w:tr>
      <w:tr>
        <w:trPr>
          <w:cantSplit/>
        </w:trPr>
        <w:tc>
          <w:tcPr>
            <w:tcW w:type="dxa" w:w="864"/>
          </w:tcPr>
          <w:p>
            <w:pPr>
              <w:keepNext/>
              <w:spacing w:after="40" w:before="40"/>
              <w:jc w:val="center"/>
            </w:pPr>
            <w:r>
              <w:rPr>
                <w:rFonts w:ascii="Segoe UI Symbol" w:hAnsi="Segoe UI Symbol" w:cs="Segoe UI Symbol" w:eastAsia="Segoe UI Symbol"/>
                <w:b w:val="0"/>
                <w:sz w:val="24"/>
              </w:rPr>
              <w:t>☐</w:t>
            </w:r>
          </w:p>
        </w:tc>
        <w:tc>
          <w:tcPr>
            <w:tcW w:type="dxa" w:w="9216"/>
          </w:tcPr>
          <w:p>
            <w:pPr>
              <w:keepNext/>
              <w:spacing w:after="40" w:before="40"/>
            </w:pPr>
            <w:r>
              <w:rPr>
                <w:b w:val="0"/>
                <w:sz w:val="19"/>
              </w:rPr>
              <w:t>The systems line names who owns the grants calendar.</w:t>
            </w:r>
          </w:p>
        </w:tc>
      </w:tr>
      <w:tr>
        <w:trPr>
          <w:cantSplit/>
        </w:trPr>
        <w:tc>
          <w:tcPr>
            <w:tcW w:type="dxa" w:w="864"/>
          </w:tcPr>
          <w:p>
            <w:pPr>
              <w:spacing w:after="40" w:before="40"/>
              <w:jc w:val="center"/>
            </w:pPr>
            <w:r>
              <w:rPr>
                <w:rFonts w:ascii="Segoe UI Symbol" w:hAnsi="Segoe UI Symbol" w:cs="Segoe UI Symbol" w:eastAsia="Segoe UI Symbol"/>
                <w:b w:val="0"/>
                <w:sz w:val="24"/>
              </w:rPr>
              <w:t>☐</w:t>
            </w:r>
          </w:p>
        </w:tc>
        <w:tc>
          <w:tcPr>
            <w:tcW w:type="dxa" w:w="9216"/>
          </w:tcPr>
          <w:p>
            <w:pPr>
              <w:spacing w:after="40" w:before="40"/>
            </w:pPr>
            <w:r>
              <w:rPr>
                <w:b w:val="0"/>
                <w:sz w:val="19"/>
              </w:rPr>
              <w:t>The posting says paid and unpaid grant work, including volunteer work, counts.</w:t>
            </w:r>
          </w:p>
        </w:tc>
      </w:tr>
    </w:tbl>
    <w:p>
      <w:pPr>
        <w:pStyle w:val="GCCaption"/>
      </w:pP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556"/>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1F35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35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pPr>
      <w:spacing w:after="40" w:before="0"/>
    </w:pPr>
    <w:rPr>
      <w:rFonts w:ascii="Calibri" w:hAnsi="Calibri"/>
      <w:b w:val="0"/>
      <w:i/>
      <w:color w:val="44546A"/>
      <w:sz w:val="26"/>
    </w:rPr>
  </w:style>
  <w:style w:type="paragraph" w:customStyle="1" w:styleId="GCMeta">
    <w:name w:val="GC Meta"/>
    <w:basedOn w:val="Normal"/>
    <w:pPr>
      <w:spacing w:after="200" w:before="0"/>
    </w:pPr>
    <w:rPr>
      <w:rFonts w:ascii="Calibri" w:hAnsi="Calibri"/>
      <w:b w:val="0"/>
      <w:i w:val="0"/>
      <w:color w:val="7F7F7F"/>
      <w:sz w:val="17"/>
    </w:rPr>
  </w:style>
  <w:style w:type="paragraph" w:customStyle="1" w:styleId="GCFill">
    <w:name w:val="GC Fill"/>
    <w:basedOn w:val="Normal"/>
    <w:pPr>
      <w:spacing w:after="80" w:before="0"/>
    </w:pPr>
    <w:rPr>
      <w:rFonts w:ascii="Calibri" w:hAnsi="Calibri"/>
      <w:b w:val="0"/>
      <w:i w:val="0"/>
      <w:color w:val="1F3556"/>
      <w:sz w:val="21"/>
    </w:rPr>
  </w:style>
  <w:style w:type="paragraph" w:customStyle="1" w:styleId="GCCaption">
    <w:name w:val="GC Caption"/>
    <w:basedOn w:val="Normal"/>
    <w:pPr>
      <w:spacing w:after="200" w:before="0"/>
    </w:pPr>
    <w:rPr>
      <w:rFonts w:ascii="Calibri" w:hAnsi="Calibri"/>
      <w:b w:val="0"/>
      <w:i/>
      <w:color w:val="7F7F7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Grant Manager Job Description Template</dc:title>
  <dc:subject>Grant manager job description template: position details, duties by grant phase, optional duty lines, time allocation, qualifications and pre-posting checklist</dc:subject>
  <dc:creator>GrantCue</dc:creator>
  <cp:keywords/>
  <dc:description/>
  <cp:lastModifiedBy>GrantCue</cp:lastModifiedBy>
  <cp:revision>1</cp:revision>
  <dcterms:created xsi:type="dcterms:W3CDTF">2026-09-22T12:00:00Z</dcterms:created>
  <dcterms:modified xsi:type="dcterms:W3CDTF">2026-09-22T12:00:00Z</dcterms:modified>
  <cp:category/>
</cp:coreProperties>
</file>